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D7" w:rsidRDefault="00314450">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4F18D7" w:rsidRDefault="00314450">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4F18D7" w:rsidRDefault="004F18D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4F18D7" w:rsidRDefault="004F18D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4F18D7">
        <w:tc>
          <w:tcPr>
            <w:tcW w:w="10773" w:type="dxa"/>
            <w:gridSpan w:val="3"/>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4F18D7">
        <w:tc>
          <w:tcPr>
            <w:tcW w:w="3969" w:type="dxa"/>
            <w:gridSpan w:val="2"/>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V400TEMP2 </w:t>
            </w:r>
          </w:p>
        </w:tc>
      </w:tr>
      <w:tr w:rsidR="004F18D7">
        <w:tc>
          <w:tcPr>
            <w:tcW w:w="3969" w:type="dxa"/>
            <w:gridSpan w:val="2"/>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Esmalte alta temperaturas 400 ml </w:t>
            </w:r>
          </w:p>
        </w:tc>
      </w:tr>
      <w:tr w:rsidR="004F18D7">
        <w:tc>
          <w:tcPr>
            <w:tcW w:w="3969" w:type="dxa"/>
            <w:gridSpan w:val="2"/>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Pintura spray </w:t>
            </w:r>
          </w:p>
        </w:tc>
      </w:tr>
      <w:tr w:rsidR="004F18D7">
        <w:tc>
          <w:tcPr>
            <w:tcW w:w="3969" w:type="dxa"/>
            <w:gridSpan w:val="2"/>
            <w:shd w:val="clear" w:color="auto" w:fill="FFFFFF"/>
          </w:tcPr>
          <w:p w:rsidR="004F18D7" w:rsidRDefault="00314450">
            <w:pPr>
              <w:widowControl w:val="0"/>
              <w:autoSpaceDE w:val="0"/>
              <w:autoSpaceDN w:val="0"/>
              <w:adjustRightInd w:val="0"/>
              <w:jc w:val="center"/>
            </w:pPr>
            <w:r>
              <w:t xml:space="preserve"> </w:t>
            </w:r>
          </w:p>
        </w:tc>
        <w:tc>
          <w:tcPr>
            <w:tcW w:w="6804" w:type="dxa"/>
            <w:shd w:val="clear" w:color="auto" w:fill="FFFFFF"/>
          </w:tcPr>
          <w:p w:rsidR="004F18D7" w:rsidRDefault="004F18D7">
            <w:pPr>
              <w:widowControl w:val="0"/>
              <w:autoSpaceDE w:val="0"/>
              <w:autoSpaceDN w:val="0"/>
              <w:adjustRightInd w:val="0"/>
              <w:jc w:val="center"/>
            </w:pPr>
          </w:p>
        </w:tc>
      </w:tr>
      <w:tr w:rsidR="004F18D7">
        <w:tc>
          <w:tcPr>
            <w:tcW w:w="10773" w:type="dxa"/>
            <w:gridSpan w:val="3"/>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Aluminio en aerosol.</w:t>
            </w:r>
          </w:p>
        </w:tc>
      </w:tr>
    </w:tbl>
    <w:p w:rsidR="004F18D7" w:rsidRDefault="004F18D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4F18D7">
        <w:tc>
          <w:tcPr>
            <w:tcW w:w="3969" w:type="dxa"/>
            <w:shd w:val="clear" w:color="auto" w:fill="A8FFFF"/>
          </w:tcPr>
          <w:p w:rsidR="004F18D7" w:rsidRDefault="00314450">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4F18D7" w:rsidRDefault="00314450">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4F18D7" w:rsidRDefault="00314450">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4F18D7" w:rsidRDefault="00314450">
            <w:pPr>
              <w:widowControl w:val="0"/>
              <w:autoSpaceDE w:val="0"/>
              <w:autoSpaceDN w:val="0"/>
              <w:adjustRightInd w:val="0"/>
            </w:pPr>
            <w:r>
              <w:rPr>
                <w:rFonts w:ascii="Arial" w:hAnsi="Arial" w:cs="Arial"/>
                <w:color w:val="000000"/>
                <w:sz w:val="16"/>
                <w:szCs w:val="16"/>
              </w:rPr>
              <w:t>Consumidores</w:t>
            </w:r>
          </w:p>
        </w:tc>
      </w:tr>
      <w:tr w:rsidR="004F18D7">
        <w:tc>
          <w:tcPr>
            <w:tcW w:w="3969"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4F18D7" w:rsidRDefault="005A16DF">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       -</w:t>
            </w:r>
          </w:p>
        </w:tc>
      </w:tr>
      <w:tr w:rsidR="004F18D7">
        <w:tc>
          <w:tcPr>
            <w:tcW w:w="3969"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F18D7" w:rsidRDefault="005A16DF">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       -</w:t>
            </w:r>
          </w:p>
        </w:tc>
      </w:tr>
    </w:tbl>
    <w:p w:rsidR="004F18D7" w:rsidRDefault="004F18D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7371"/>
      </w:tblGrid>
      <w:tr w:rsidR="004F18D7">
        <w:tc>
          <w:tcPr>
            <w:tcW w:w="10773" w:type="dxa"/>
            <w:gridSpan w:val="2"/>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4F18D7" w:rsidTr="00A1685C">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Razón social:</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AMBRO-SOL S.R.L. </w:t>
            </w:r>
          </w:p>
        </w:tc>
      </w:tr>
      <w:tr w:rsidR="004F18D7" w:rsidTr="00A1685C">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Dirección:</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Via per Pavone del Mella n.21 </w:t>
            </w:r>
          </w:p>
        </w:tc>
      </w:tr>
      <w:tr w:rsidR="004F18D7" w:rsidTr="00A1685C">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Localidad y Estado:</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25020 Cigole (BS) </w:t>
            </w:r>
          </w:p>
        </w:tc>
      </w:tr>
      <w:tr w:rsidR="004F18D7" w:rsidTr="00A1685C">
        <w:tc>
          <w:tcPr>
            <w:tcW w:w="3402" w:type="dxa"/>
            <w:shd w:val="clear" w:color="auto" w:fill="FFFFFF"/>
          </w:tcPr>
          <w:p w:rsidR="004F18D7" w:rsidRDefault="00314450">
            <w:pPr>
              <w:widowControl w:val="0"/>
              <w:autoSpaceDE w:val="0"/>
              <w:autoSpaceDN w:val="0"/>
              <w:adjustRightInd w:val="0"/>
              <w:jc w:val="center"/>
            </w:pPr>
            <w:r>
              <w:t xml:space="preserve"> </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Italia </w:t>
            </w:r>
          </w:p>
        </w:tc>
      </w:tr>
      <w:tr w:rsidR="004F18D7" w:rsidTr="00A1685C">
        <w:tc>
          <w:tcPr>
            <w:tcW w:w="3402" w:type="dxa"/>
            <w:shd w:val="clear" w:color="auto" w:fill="FFFFFF"/>
          </w:tcPr>
          <w:p w:rsidR="004F18D7" w:rsidRDefault="00314450">
            <w:pPr>
              <w:widowControl w:val="0"/>
              <w:autoSpaceDE w:val="0"/>
              <w:autoSpaceDN w:val="0"/>
              <w:adjustRightInd w:val="0"/>
              <w:jc w:val="center"/>
            </w:pPr>
            <w:r>
              <w:t xml:space="preserve"> </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Tel. +39 030 9959674 </w:t>
            </w:r>
          </w:p>
        </w:tc>
      </w:tr>
      <w:tr w:rsidR="004F18D7" w:rsidTr="00A1685C">
        <w:tc>
          <w:tcPr>
            <w:tcW w:w="3402" w:type="dxa"/>
            <w:shd w:val="clear" w:color="auto" w:fill="FFFFFF"/>
          </w:tcPr>
          <w:p w:rsidR="004F18D7" w:rsidRDefault="00314450">
            <w:pPr>
              <w:widowControl w:val="0"/>
              <w:autoSpaceDE w:val="0"/>
              <w:autoSpaceDN w:val="0"/>
              <w:adjustRightInd w:val="0"/>
              <w:jc w:val="center"/>
            </w:pPr>
            <w:r>
              <w:t xml:space="preserve"> </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Fax +39 030 959265 </w:t>
            </w:r>
          </w:p>
        </w:tc>
      </w:tr>
      <w:tr w:rsidR="004F18D7" w:rsidTr="00A1685C">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371" w:type="dxa"/>
            <w:shd w:val="clear" w:color="auto" w:fill="FFFFFF"/>
          </w:tcPr>
          <w:p w:rsidR="004F18D7" w:rsidRDefault="004F18D7">
            <w:pPr>
              <w:widowControl w:val="0"/>
              <w:autoSpaceDE w:val="0"/>
              <w:autoSpaceDN w:val="0"/>
              <w:adjustRightInd w:val="0"/>
            </w:pPr>
          </w:p>
        </w:tc>
      </w:tr>
      <w:tr w:rsidR="004F18D7" w:rsidTr="00A1685C">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quality@ambro-sol.com </w:t>
            </w:r>
          </w:p>
        </w:tc>
      </w:tr>
      <w:tr w:rsidR="004F18D7" w:rsidTr="00A1685C">
        <w:tc>
          <w:tcPr>
            <w:tcW w:w="3402" w:type="dxa"/>
            <w:shd w:val="clear" w:color="auto" w:fill="FFFFFF"/>
          </w:tcPr>
          <w:p w:rsidR="004F18D7" w:rsidRDefault="00314450">
            <w:pPr>
              <w:widowControl w:val="0"/>
              <w:autoSpaceDE w:val="0"/>
              <w:autoSpaceDN w:val="0"/>
              <w:adjustRightInd w:val="0"/>
              <w:jc w:val="center"/>
            </w:pPr>
            <w:r>
              <w:t xml:space="preserve"> </w:t>
            </w:r>
          </w:p>
        </w:tc>
        <w:tc>
          <w:tcPr>
            <w:tcW w:w="7371" w:type="dxa"/>
            <w:shd w:val="clear" w:color="auto" w:fill="FFFFFF"/>
          </w:tcPr>
          <w:p w:rsidR="004F18D7" w:rsidRDefault="004F18D7">
            <w:pPr>
              <w:widowControl w:val="0"/>
              <w:autoSpaceDE w:val="0"/>
              <w:autoSpaceDN w:val="0"/>
              <w:adjustRightInd w:val="0"/>
              <w:jc w:val="center"/>
            </w:pPr>
          </w:p>
        </w:tc>
      </w:tr>
      <w:tr w:rsidR="004F18D7">
        <w:tc>
          <w:tcPr>
            <w:tcW w:w="10773" w:type="dxa"/>
            <w:gridSpan w:val="2"/>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4F18D7" w:rsidTr="00A1685C">
        <w:trPr>
          <w:gridAfter w:val="1"/>
          <w:wAfter w:w="737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4F18D7" w:rsidRDefault="0031445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371"/>
      </w:tblGrid>
      <w:tr w:rsidR="004F18D7" w:rsidTr="00A1685C">
        <w:tc>
          <w:tcPr>
            <w:tcW w:w="7371"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4F18D7" w:rsidRDefault="004F18D7">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4F18D7" w:rsidRDefault="004F18D7">
      <w:pPr>
        <w:widowControl w:val="0"/>
        <w:autoSpaceDE w:val="0"/>
        <w:autoSpaceDN w:val="0"/>
        <w:adjustRightInd w:val="0"/>
        <w:jc w:val="center"/>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4F18D7">
        <w:tc>
          <w:tcPr>
            <w:tcW w:w="4536"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 extremadamente inflamable.</w:t>
            </w:r>
          </w:p>
        </w:tc>
      </w:tr>
      <w:tr w:rsidR="004F18D7">
        <w:tc>
          <w:tcPr>
            <w:tcW w:w="4536" w:type="dxa"/>
            <w:shd w:val="clear" w:color="auto" w:fill="FFFFFF"/>
          </w:tcPr>
          <w:p w:rsidR="004F18D7" w:rsidRDefault="00314450">
            <w:pPr>
              <w:widowControl w:val="0"/>
              <w:autoSpaceDE w:val="0"/>
              <w:autoSpaceDN w:val="0"/>
              <w:adjustRightInd w:val="0"/>
              <w:jc w:val="both"/>
            </w:pPr>
            <w:r>
              <w:t xml:space="preserve"> </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Recipiente a presión: puede reventar si se calienta.</w:t>
            </w:r>
          </w:p>
        </w:tc>
      </w:tr>
      <w:tr w:rsidR="004F18D7">
        <w:tc>
          <w:tcPr>
            <w:tcW w:w="4536"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ocular grave.</w:t>
            </w:r>
          </w:p>
        </w:tc>
      </w:tr>
      <w:tr w:rsidR="004F18D7">
        <w:tc>
          <w:tcPr>
            <w:tcW w:w="4536"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cutánea.</w:t>
            </w:r>
          </w:p>
        </w:tc>
      </w:tr>
      <w:tr w:rsidR="004F18D7">
        <w:tc>
          <w:tcPr>
            <w:tcW w:w="4536"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provocar somnolencia o vértigo.</w:t>
            </w:r>
          </w:p>
        </w:tc>
      </w:tr>
      <w:tr w:rsidR="004F18D7">
        <w:tc>
          <w:tcPr>
            <w:tcW w:w="4536" w:type="dxa"/>
            <w:shd w:val="clear" w:color="auto" w:fill="FFFFFF"/>
          </w:tcPr>
          <w:p w:rsidR="004F18D7" w:rsidRDefault="00314450">
            <w:pPr>
              <w:widowControl w:val="0"/>
              <w:autoSpaceDE w:val="0"/>
              <w:autoSpaceDN w:val="0"/>
              <w:adjustRightInd w:val="0"/>
              <w:jc w:val="both"/>
            </w:pPr>
            <w:r>
              <w:t xml:space="preserve"> </w:t>
            </w:r>
          </w:p>
        </w:tc>
        <w:tc>
          <w:tcPr>
            <w:tcW w:w="1701" w:type="dxa"/>
            <w:shd w:val="clear" w:color="auto" w:fill="FFFFFF"/>
          </w:tcPr>
          <w:p w:rsidR="004F18D7" w:rsidRDefault="004F18D7">
            <w:pPr>
              <w:widowControl w:val="0"/>
              <w:autoSpaceDE w:val="0"/>
              <w:autoSpaceDN w:val="0"/>
              <w:adjustRightInd w:val="0"/>
              <w:jc w:val="both"/>
            </w:pPr>
          </w:p>
        </w:tc>
        <w:tc>
          <w:tcPr>
            <w:tcW w:w="4536" w:type="dxa"/>
            <w:shd w:val="clear" w:color="auto" w:fill="FFFFFF"/>
          </w:tcPr>
          <w:p w:rsidR="004F18D7" w:rsidRDefault="004F18D7">
            <w:pPr>
              <w:widowControl w:val="0"/>
              <w:autoSpaceDE w:val="0"/>
              <w:autoSpaceDN w:val="0"/>
              <w:adjustRightInd w:val="0"/>
              <w:jc w:val="both"/>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4F18D7">
        <w:tc>
          <w:tcPr>
            <w:tcW w:w="1984" w:type="dxa"/>
            <w:gridSpan w:val="2"/>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4F18D7" w:rsidRDefault="004F18D7">
            <w:pPr>
              <w:widowControl w:val="0"/>
              <w:autoSpaceDE w:val="0"/>
              <w:autoSpaceDN w:val="0"/>
              <w:adjustRightInd w:val="0"/>
            </w:pPr>
          </w:p>
        </w:tc>
      </w:tr>
      <w:tr w:rsidR="004F18D7">
        <w:trPr>
          <w:gridAfter w:val="1"/>
          <w:wAfter w:w="853" w:type="dxa"/>
        </w:trPr>
        <w:tc>
          <w:tcPr>
            <w:tcW w:w="1417" w:type="dxa"/>
            <w:shd w:val="clear" w:color="auto" w:fill="FFFFFF"/>
          </w:tcPr>
          <w:p w:rsidR="004F18D7" w:rsidRDefault="00314450">
            <w:pPr>
              <w:widowControl w:val="0"/>
              <w:autoSpaceDE w:val="0"/>
              <w:autoSpaceDN w:val="0"/>
              <w:adjustRightInd w:val="0"/>
              <w:jc w:val="both"/>
            </w:pPr>
            <w:r>
              <w:t xml:space="preserve"> </w:t>
            </w:r>
            <w:r w:rsidR="005A16DF">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5A16DF">
              <w:pict>
                <v:shape id="_x0000_i1027" type="#_x0000_t75" style="width:51pt;height:51pt">
                  <v:imagedata r:id="rId7" o:title=""/>
                </v:shape>
              </w:pict>
            </w:r>
          </w:p>
        </w:tc>
        <w:tc>
          <w:tcPr>
            <w:tcW w:w="1417" w:type="dxa"/>
            <w:gridSpan w:val="2"/>
            <w:shd w:val="clear" w:color="auto" w:fill="FFFFFF"/>
          </w:tcPr>
          <w:p w:rsidR="004F18D7" w:rsidRDefault="005A16DF">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4F18D7" w:rsidRDefault="004F18D7">
            <w:pPr>
              <w:widowControl w:val="0"/>
              <w:autoSpaceDE w:val="0"/>
              <w:autoSpaceDN w:val="0"/>
              <w:adjustRightInd w:val="0"/>
              <w:jc w:val="both"/>
            </w:pPr>
          </w:p>
        </w:tc>
        <w:tc>
          <w:tcPr>
            <w:tcW w:w="1417" w:type="dxa"/>
            <w:shd w:val="clear" w:color="auto" w:fill="FFFFFF"/>
          </w:tcPr>
          <w:p w:rsidR="004F18D7" w:rsidRDefault="004F18D7">
            <w:pPr>
              <w:widowControl w:val="0"/>
              <w:autoSpaceDE w:val="0"/>
              <w:autoSpaceDN w:val="0"/>
              <w:adjustRightInd w:val="0"/>
              <w:jc w:val="both"/>
            </w:pPr>
          </w:p>
        </w:tc>
        <w:tc>
          <w:tcPr>
            <w:tcW w:w="1417" w:type="dxa"/>
            <w:shd w:val="clear" w:color="auto" w:fill="FFFFFF"/>
          </w:tcPr>
          <w:p w:rsidR="004F18D7" w:rsidRDefault="004F18D7">
            <w:pPr>
              <w:widowControl w:val="0"/>
              <w:autoSpaceDE w:val="0"/>
              <w:autoSpaceDN w:val="0"/>
              <w:adjustRightInd w:val="0"/>
              <w:jc w:val="both"/>
            </w:pPr>
          </w:p>
        </w:tc>
        <w:tc>
          <w:tcPr>
            <w:tcW w:w="1417" w:type="dxa"/>
            <w:shd w:val="clear" w:color="auto" w:fill="FFFFFF"/>
          </w:tcPr>
          <w:p w:rsidR="004F18D7" w:rsidRDefault="004F18D7">
            <w:pPr>
              <w:widowControl w:val="0"/>
              <w:autoSpaceDE w:val="0"/>
              <w:autoSpaceDN w:val="0"/>
              <w:adjustRightInd w:val="0"/>
              <w:jc w:val="both"/>
            </w:pPr>
          </w:p>
        </w:tc>
        <w:tc>
          <w:tcPr>
            <w:tcW w:w="1417" w:type="dxa"/>
            <w:shd w:val="clear" w:color="auto" w:fill="FFFFFF"/>
          </w:tcPr>
          <w:p w:rsidR="004F18D7" w:rsidRDefault="004F18D7">
            <w:pPr>
              <w:widowControl w:val="0"/>
              <w:autoSpaceDE w:val="0"/>
              <w:autoSpaceDN w:val="0"/>
              <w:adjustRightInd w:val="0"/>
              <w:jc w:val="both"/>
            </w:pP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Peligro</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 extremadamente inflamable.</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Recipiente a presión: puede reventar si se calienta.</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ocular grave.</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cutánea.</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provocar somnolencia o vértigo.</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Mantener fuera del alcance de los niños.</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perforar ni quemar, incluso después de su uso.</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4F18D7">
        <w:tc>
          <w:tcPr>
            <w:tcW w:w="1984" w:type="dxa"/>
            <w:shd w:val="clear" w:color="auto" w:fill="FFFFFF"/>
          </w:tcPr>
          <w:p w:rsidR="004F18D7" w:rsidRDefault="00314450">
            <w:pPr>
              <w:widowControl w:val="0"/>
              <w:autoSpaceDE w:val="0"/>
              <w:autoSpaceDN w:val="0"/>
              <w:adjustRightInd w:val="0"/>
              <w:jc w:val="both"/>
            </w:pPr>
            <w:r>
              <w:t xml:space="preserve"> </w:t>
            </w:r>
          </w:p>
        </w:tc>
        <w:tc>
          <w:tcPr>
            <w:tcW w:w="8788" w:type="dxa"/>
            <w:shd w:val="clear" w:color="auto" w:fill="FFFFFF"/>
          </w:tcPr>
          <w:p w:rsidR="004F18D7" w:rsidRDefault="004F18D7">
            <w:pPr>
              <w:widowControl w:val="0"/>
              <w:autoSpaceDE w:val="0"/>
              <w:autoSpaceDN w:val="0"/>
              <w:adjustRightInd w:val="0"/>
              <w:jc w:val="both"/>
            </w:pPr>
          </w:p>
        </w:tc>
      </w:tr>
      <w:tr w:rsidR="004F18D7" w:rsidTr="00A1685C">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rsidR="004F18D7" w:rsidRDefault="00A1685C" w:rsidP="00A1685C">
            <w:pPr>
              <w:widowControl w:val="0"/>
              <w:autoSpaceDE w:val="0"/>
              <w:autoSpaceDN w:val="0"/>
              <w:adjustRightInd w:val="0"/>
            </w:pPr>
            <w:r>
              <w:rPr>
                <w:rFonts w:ascii="Arial" w:hAnsi="Arial" w:cs="Arial"/>
                <w:color w:val="000000"/>
                <w:sz w:val="16"/>
                <w:szCs w:val="16"/>
              </w:rPr>
              <w:t>acetona</w:t>
            </w:r>
          </w:p>
        </w:tc>
      </w:tr>
      <w:tr w:rsidR="004F18D7" w:rsidTr="00A1685C">
        <w:tc>
          <w:tcPr>
            <w:tcW w:w="1984" w:type="dxa"/>
            <w:shd w:val="clear" w:color="auto" w:fill="FFFFFF"/>
          </w:tcPr>
          <w:p w:rsidR="004F18D7" w:rsidRDefault="00314450">
            <w:pPr>
              <w:widowControl w:val="0"/>
              <w:autoSpaceDE w:val="0"/>
              <w:autoSpaceDN w:val="0"/>
              <w:adjustRightInd w:val="0"/>
              <w:jc w:val="both"/>
            </w:pPr>
            <w:r>
              <w:t xml:space="preserve"> </w:t>
            </w:r>
          </w:p>
        </w:tc>
        <w:tc>
          <w:tcPr>
            <w:tcW w:w="8788" w:type="dxa"/>
            <w:shd w:val="clear" w:color="auto" w:fill="FFFFFF"/>
            <w:vAlign w:val="center"/>
          </w:tcPr>
          <w:p w:rsidR="004F18D7" w:rsidRDefault="00A1685C" w:rsidP="00A1685C">
            <w:pPr>
              <w:widowControl w:val="0"/>
              <w:autoSpaceDE w:val="0"/>
              <w:autoSpaceDN w:val="0"/>
              <w:adjustRightInd w:val="0"/>
            </w:pPr>
            <w:r>
              <w:rPr>
                <w:rFonts w:ascii="Arial" w:hAnsi="Arial" w:cs="Arial"/>
                <w:color w:val="000000"/>
                <w:sz w:val="16"/>
                <w:szCs w:val="16"/>
              </w:rPr>
              <w:t>hydrocarbons, c9, aromatics</w:t>
            </w:r>
          </w:p>
        </w:tc>
      </w:tr>
    </w:tbl>
    <w:p w:rsidR="00A1685C" w:rsidRDefault="00A1685C">
      <w:pPr>
        <w:widowControl w:val="0"/>
        <w:autoSpaceDE w:val="0"/>
        <w:autoSpaceDN w:val="0"/>
        <w:adjustRightInd w:val="0"/>
        <w:jc w:val="both"/>
        <w:rPr>
          <w:rFonts w:ascii="Arial" w:hAnsi="Arial" w:cs="Arial"/>
          <w:color w:val="000000"/>
          <w:sz w:val="16"/>
          <w:szCs w:val="16"/>
          <w:u w:val="single"/>
        </w:rPr>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4F18D7">
        <w:tc>
          <w:tcPr>
            <w:tcW w:w="5670"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644,88</w:t>
            </w:r>
          </w:p>
        </w:tc>
        <w:tc>
          <w:tcPr>
            <w:tcW w:w="4252" w:type="dxa"/>
            <w:shd w:val="clear" w:color="auto" w:fill="FFFFFF"/>
          </w:tcPr>
          <w:p w:rsidR="004F18D7" w:rsidRDefault="004F18D7">
            <w:pPr>
              <w:widowControl w:val="0"/>
              <w:autoSpaceDE w:val="0"/>
              <w:autoSpaceDN w:val="0"/>
              <w:adjustRightInd w:val="0"/>
            </w:pPr>
          </w:p>
        </w:tc>
      </w:tr>
      <w:tr w:rsidR="004F18D7">
        <w:tc>
          <w:tcPr>
            <w:tcW w:w="5670"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3.2. Mezclas</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b/>
                <w:bCs/>
                <w:color w:val="000000"/>
                <w:sz w:val="16"/>
                <w:szCs w:val="16"/>
              </w:rPr>
              <w:t>ACETONA</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67-64-1</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35 ≤ x &lt;  39</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200-662-2</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606-001-00-8</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01-2119471330-49-XXXX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 ≤ x &lt;  10</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ACETATO DE ISOBUTILO</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110-19-0</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2 H225, EUH066, Nota de clasificación según el anexo VI del Reglamento CLP: C</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203-745-1</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607-026-00-7</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01-2119488971-22-XXXX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Hydrocarbons, C9, aromatics</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 ≤ x &lt;  2,5</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3 H226, Asp. Tox. 1 H304, STOT SE 3 H335, STOT SE 3 H336, Aquatic Chronic 2 H411, EUH066, Nota de clasificación según el anexo VI del Reglamento CLP: H P</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918-668-5</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649-356-00-4</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01-2119455851-35-XXXX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64742-48-9</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Asp. Tox. 1 H304, Nota de clasificación según el anexo VI del Reglamento CLP: P</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265-150-3</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01-2119457273-39-XXXX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6"/>
                <w:szCs w:val="16"/>
              </w:rPr>
              <w:t>CAS   108-65-6</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ETILBENCENO</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CAS   100-41-4</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Flam. Liq. 2 H225, Acute Tox. 4 H332, Asp. Tox. 1 H304, STOT RE 2 H373</w:t>
            </w: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CE   202-849-4</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INDEX   601-023-00-4</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Nº Reg.   01-2119489370-35-XXXX</w:t>
            </w:r>
          </w:p>
        </w:tc>
        <w:tc>
          <w:tcPr>
            <w:tcW w:w="1417"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c>
          <w:tcPr>
            <w:tcW w:w="567"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30,50 %</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Naphtha (petroleum), hydrotreated heavy: a complex combination of hydrocarbons obtained by treating a petroleum fraction with hydrogen in the presence of a catalyst. It consists of hydrocarbons having carbon numbers predominantly in the range of C6 through C13 and boiling in the range of approximately 65°C to 230°C (149°F to 446°F).</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5.3. Recomendaciones para el personal de lucha contra incendios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JORF n°0109 du 10 mai 2012 page 8773  texte n° 102</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EH40/2005 Workplace exposure limits</w:t>
            </w:r>
          </w:p>
        </w:tc>
      </w:tr>
      <w:tr w:rsidR="004F18D7">
        <w:tc>
          <w:tcPr>
            <w:tcW w:w="1134"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4"/>
                <w:szCs w:val="14"/>
              </w:rPr>
              <w:t>ITA</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Decreto Legislativo 9 Aprile 2008, n.81</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4F18D7">
        <w:tc>
          <w:tcPr>
            <w:tcW w:w="1134"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4F18D7">
        <w:tc>
          <w:tcPr>
            <w:tcW w:w="1134" w:type="dxa"/>
            <w:shd w:val="clear" w:color="auto" w:fill="FFFFFF"/>
          </w:tcPr>
          <w:p w:rsidR="004F18D7" w:rsidRDefault="00314450">
            <w:pPr>
              <w:widowControl w:val="0"/>
              <w:autoSpaceDE w:val="0"/>
              <w:autoSpaceDN w:val="0"/>
              <w:adjustRightInd w:val="0"/>
              <w:jc w:val="both"/>
            </w:pPr>
            <w:r>
              <w:t xml:space="preserve"> </w:t>
            </w:r>
          </w:p>
        </w:tc>
        <w:tc>
          <w:tcPr>
            <w:tcW w:w="2268"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ACGIH 2017</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ACETONA</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2420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3620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1500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1800</w:t>
            </w: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1187</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500</w:t>
            </w:r>
          </w:p>
        </w:tc>
        <w:tc>
          <w:tcPr>
            <w:tcW w:w="1134"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1781</w:t>
            </w:r>
          </w:p>
        </w:tc>
        <w:tc>
          <w:tcPr>
            <w:tcW w:w="1134"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750</w:t>
            </w: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21</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62 mg/kg</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200 mg/m3</w:t>
            </w:r>
          </w:p>
        </w:tc>
        <w:tc>
          <w:tcPr>
            <w:tcW w:w="1020"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2,420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1,210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62 mg/kg</w:t>
            </w:r>
          </w:p>
        </w:tc>
        <w:tc>
          <w:tcPr>
            <w:tcW w:w="1020" w:type="dxa"/>
            <w:gridSpan w:val="3"/>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186 mg/kg</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4F18D7">
        <w:tc>
          <w:tcPr>
            <w:tcW w:w="10773" w:type="dxa"/>
            <w:gridSpan w:val="8"/>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PROPANO</w:t>
            </w:r>
          </w:p>
        </w:tc>
      </w:tr>
      <w:tr w:rsidR="004F18D7">
        <w:tc>
          <w:tcPr>
            <w:tcW w:w="10773" w:type="dxa"/>
            <w:gridSpan w:val="8"/>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701"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77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180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4F18D7">
        <w:tc>
          <w:tcPr>
            <w:tcW w:w="10773" w:type="dxa"/>
            <w:gridSpan w:val="9"/>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Hidrocarburos C4</w:t>
            </w:r>
          </w:p>
        </w:tc>
      </w:tr>
      <w:tr w:rsidR="004F18D7">
        <w:tc>
          <w:tcPr>
            <w:tcW w:w="10773" w:type="dxa"/>
            <w:gridSpan w:val="9"/>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2,21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23,4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2-BUTOXIETANOL</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3"/>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98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125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ACETATO DE ISOBUTILO</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903</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187</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170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877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87,7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75,5</w:t>
            </w:r>
          </w:p>
        </w:tc>
        <w:tc>
          <w:tcPr>
            <w:tcW w:w="1701" w:type="dxa"/>
            <w:gridSpan w:val="4"/>
            <w:shd w:val="clear" w:color="auto" w:fill="FFFFFF"/>
          </w:tcPr>
          <w:p w:rsidR="004F18D7" w:rsidRDefault="00314450">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 mg/kg bw/d</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 mg/kg bw/d</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35,7 mg/m3</w:t>
            </w:r>
          </w:p>
        </w:tc>
        <w:tc>
          <w:tcPr>
            <w:tcW w:w="1020"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300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5 mg/kg bw/d</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5 mg/kg bw/d</w:t>
            </w:r>
          </w:p>
        </w:tc>
        <w:tc>
          <w:tcPr>
            <w:tcW w:w="1020"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10 mg/kg bw/d</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10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4F18D7">
        <w:tc>
          <w:tcPr>
            <w:tcW w:w="10773" w:type="dxa"/>
            <w:gridSpan w:val="12"/>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Hydrocarbons, C9, aromatics</w:t>
            </w:r>
          </w:p>
        </w:tc>
      </w:tr>
      <w:tr w:rsidR="004F18D7">
        <w:tc>
          <w:tcPr>
            <w:tcW w:w="10773" w:type="dxa"/>
            <w:gridSpan w:val="12"/>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2"/>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11 mg/kg bw/d</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32 mg/m3</w:t>
            </w: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150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25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4F18D7">
        <w:tc>
          <w:tcPr>
            <w:tcW w:w="10773" w:type="dxa"/>
            <w:gridSpan w:val="12"/>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r>
      <w:tr w:rsidR="004F18D7">
        <w:tc>
          <w:tcPr>
            <w:tcW w:w="10773" w:type="dxa"/>
            <w:gridSpan w:val="12"/>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300</w:t>
            </w:r>
          </w:p>
        </w:tc>
        <w:tc>
          <w:tcPr>
            <w:tcW w:w="1134" w:type="dxa"/>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2"/>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900 mg/m3</w:t>
            </w: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300 mg/kg</w:t>
            </w: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gridSpan w:val="2"/>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300 mg/kg</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4F18D7" w:rsidRDefault="00314450">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275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796 mg/kg bw/d</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F18D7">
        <w:tc>
          <w:tcPr>
            <w:tcW w:w="10773" w:type="dxa"/>
            <w:gridSpan w:val="13"/>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16"/>
                <w:szCs w:val="16"/>
              </w:rPr>
              <w:t>ETILBENCENO</w:t>
            </w: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Valor límite de umbral</w:t>
            </w: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4F18D7" w:rsidRDefault="004F18D7">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176</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88,4</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552</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125</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F18D7" w:rsidRDefault="004F18D7">
            <w:pPr>
              <w:widowControl w:val="0"/>
              <w:autoSpaceDE w:val="0"/>
              <w:autoSpaceDN w:val="0"/>
              <w:adjustRightInd w:val="0"/>
            </w:pPr>
          </w:p>
        </w:tc>
        <w:tc>
          <w:tcPr>
            <w:tcW w:w="1134" w:type="dxa"/>
            <w:gridSpan w:val="3"/>
            <w:shd w:val="clear" w:color="auto" w:fill="FFFFFF"/>
          </w:tcPr>
          <w:p w:rsidR="004F18D7" w:rsidRDefault="004F18D7">
            <w:pPr>
              <w:widowControl w:val="0"/>
              <w:autoSpaceDE w:val="0"/>
              <w:autoSpaceDN w:val="0"/>
              <w:adjustRightInd w:val="0"/>
            </w:pPr>
          </w:p>
        </w:tc>
        <w:tc>
          <w:tcPr>
            <w:tcW w:w="1134" w:type="dxa"/>
            <w:gridSpan w:val="2"/>
            <w:shd w:val="clear" w:color="auto" w:fill="FFFFFF"/>
          </w:tcPr>
          <w:p w:rsidR="004F18D7" w:rsidRDefault="004F18D7">
            <w:pPr>
              <w:widowControl w:val="0"/>
              <w:autoSpaceDE w:val="0"/>
              <w:autoSpaceDN w:val="0"/>
              <w:adjustRightInd w:val="0"/>
            </w:pPr>
          </w:p>
        </w:tc>
        <w:tc>
          <w:tcPr>
            <w:tcW w:w="1701" w:type="dxa"/>
            <w:gridSpan w:val="2"/>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9,6</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r>
      <w:tr w:rsidR="004F18D7">
        <w:tc>
          <w:tcPr>
            <w:tcW w:w="5670" w:type="dxa"/>
            <w:gridSpan w:val="4"/>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rsidR="004F18D7" w:rsidRDefault="0031445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F18D7" w:rsidRDefault="004F18D7">
            <w:pPr>
              <w:widowControl w:val="0"/>
              <w:autoSpaceDE w:val="0"/>
              <w:autoSpaceDN w:val="0"/>
              <w:adjustRightInd w:val="0"/>
            </w:pPr>
          </w:p>
        </w:tc>
      </w:tr>
      <w:tr w:rsidR="004F18D7">
        <w:tc>
          <w:tcPr>
            <w:tcW w:w="10773" w:type="dxa"/>
            <w:gridSpan w:val="13"/>
            <w:shd w:val="clear" w:color="auto" w:fill="D3D3D3"/>
          </w:tcPr>
          <w:p w:rsidR="004F18D7" w:rsidRDefault="0031445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F18D7">
        <w:tc>
          <w:tcPr>
            <w:tcW w:w="2268" w:type="dxa"/>
            <w:shd w:val="clear" w:color="auto" w:fill="D3D3D3"/>
          </w:tcPr>
          <w:p w:rsidR="004F18D7" w:rsidRDefault="00314450">
            <w:pPr>
              <w:widowControl w:val="0"/>
              <w:autoSpaceDE w:val="0"/>
              <w:autoSpaceDN w:val="0"/>
              <w:adjustRightInd w:val="0"/>
              <w:jc w:val="both"/>
            </w:pPr>
            <w:r>
              <w:t xml:space="preserve"> </w:t>
            </w:r>
          </w:p>
        </w:tc>
        <w:tc>
          <w:tcPr>
            <w:tcW w:w="1134" w:type="dxa"/>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F18D7" w:rsidRDefault="004F18D7">
            <w:pPr>
              <w:widowControl w:val="0"/>
              <w:autoSpaceDE w:val="0"/>
              <w:autoSpaceDN w:val="0"/>
              <w:adjustRightInd w:val="0"/>
            </w:pPr>
          </w:p>
        </w:tc>
        <w:tc>
          <w:tcPr>
            <w:tcW w:w="1134" w:type="dxa"/>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c>
          <w:tcPr>
            <w:tcW w:w="1020" w:type="dxa"/>
            <w:gridSpan w:val="3"/>
            <w:shd w:val="clear" w:color="auto" w:fill="D3D3D3"/>
          </w:tcPr>
          <w:p w:rsidR="004F18D7" w:rsidRDefault="0031445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F18D7" w:rsidRDefault="004F18D7">
            <w:pPr>
              <w:widowControl w:val="0"/>
              <w:autoSpaceDE w:val="0"/>
              <w:autoSpaceDN w:val="0"/>
              <w:adjustRightInd w:val="0"/>
            </w:pPr>
          </w:p>
        </w:tc>
        <w:tc>
          <w:tcPr>
            <w:tcW w:w="1020" w:type="dxa"/>
            <w:gridSpan w:val="2"/>
            <w:shd w:val="clear" w:color="auto" w:fill="D3D3D3"/>
          </w:tcPr>
          <w:p w:rsidR="004F18D7" w:rsidRDefault="004F18D7">
            <w:pPr>
              <w:widowControl w:val="0"/>
              <w:autoSpaceDE w:val="0"/>
              <w:autoSpaceDN w:val="0"/>
              <w:adjustRightInd w:val="0"/>
            </w:pPr>
          </w:p>
        </w:tc>
        <w:tc>
          <w:tcPr>
            <w:tcW w:w="1020" w:type="dxa"/>
            <w:shd w:val="clear" w:color="auto" w:fill="D3D3D3"/>
          </w:tcPr>
          <w:p w:rsidR="004F18D7" w:rsidRDefault="004F18D7">
            <w:pPr>
              <w:widowControl w:val="0"/>
              <w:autoSpaceDE w:val="0"/>
              <w:autoSpaceDN w:val="0"/>
              <w:adjustRightInd w:val="0"/>
            </w:pPr>
          </w:p>
        </w:tc>
      </w:tr>
      <w:tr w:rsidR="004F18D7">
        <w:tc>
          <w:tcPr>
            <w:tcW w:w="2268"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4F18D7" w:rsidRDefault="00314450">
            <w:pPr>
              <w:widowControl w:val="0"/>
              <w:autoSpaceDE w:val="0"/>
              <w:autoSpaceDN w:val="0"/>
              <w:adjustRightInd w:val="0"/>
            </w:pPr>
            <w:r>
              <w:rPr>
                <w:rFonts w:ascii="Arial" w:hAnsi="Arial" w:cs="Arial"/>
                <w:color w:val="000000"/>
                <w:sz w:val="14"/>
                <w:szCs w:val="14"/>
              </w:rPr>
              <w:t>Sistém crónicos</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4F18D7" w:rsidRDefault="004F18D7">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1,6</w:t>
            </w:r>
          </w:p>
        </w:tc>
      </w:tr>
      <w:tr w:rsidR="004F18D7">
        <w:tc>
          <w:tcPr>
            <w:tcW w:w="2268"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15 mg/m3</w:t>
            </w:r>
          </w:p>
        </w:tc>
        <w:tc>
          <w:tcPr>
            <w:tcW w:w="1020" w:type="dxa"/>
            <w:gridSpan w:val="3"/>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293 mg/m3</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4F18D7" w:rsidRDefault="00314450">
            <w:pPr>
              <w:widowControl w:val="0"/>
              <w:autoSpaceDE w:val="0"/>
              <w:autoSpaceDN w:val="0"/>
              <w:adjustRightInd w:val="0"/>
            </w:pPr>
            <w:r>
              <w:rPr>
                <w:rFonts w:ascii="Arial" w:hAnsi="Arial" w:cs="Arial"/>
                <w:color w:val="000000"/>
                <w:sz w:val="14"/>
                <w:szCs w:val="14"/>
              </w:rPr>
              <w:t>77 mg/m3</w:t>
            </w:r>
          </w:p>
        </w:tc>
      </w:tr>
      <w:tr w:rsidR="004F18D7">
        <w:tc>
          <w:tcPr>
            <w:tcW w:w="2268"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F18D7" w:rsidRDefault="004F18D7">
            <w:pPr>
              <w:widowControl w:val="0"/>
              <w:autoSpaceDE w:val="0"/>
              <w:autoSpaceDN w:val="0"/>
              <w:adjustRightInd w:val="0"/>
            </w:pP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F18D7" w:rsidRDefault="0031445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F18D7" w:rsidRDefault="00314450">
            <w:pPr>
              <w:widowControl w:val="0"/>
              <w:autoSpaceDE w:val="0"/>
              <w:autoSpaceDN w:val="0"/>
              <w:adjustRightInd w:val="0"/>
            </w:pPr>
            <w:r>
              <w:rPr>
                <w:rFonts w:ascii="Arial" w:hAnsi="Arial" w:cs="Arial"/>
                <w:color w:val="000000"/>
                <w:sz w:val="14"/>
                <w:szCs w:val="14"/>
              </w:rPr>
              <w:t>180 mg/kg bw/d</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VND = peligro identificado pero ningún DNEL/PNEC disponible   ;   NEA = ninguna exposición prevista   ;   NPI = ningún peligro identificado.</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gridCol w:w="1701"/>
      </w:tblGrid>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aluminio</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característico de disolvente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&lt; 0 °C</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gas inflamable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20°C 0,71 ÷ 0,75    g/ml</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insoluble en agua</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disponible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aplicable</w:t>
            </w:r>
          </w:p>
        </w:tc>
      </w:tr>
      <w:tr w:rsidR="004F18D7">
        <w:trPr>
          <w:gridAfter w:val="1"/>
          <w:wAfter w:w="1701" w:type="dxa"/>
        </w:trPr>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 aplicable</w:t>
            </w:r>
          </w:p>
        </w:tc>
      </w:tr>
      <w:tr w:rsidR="004F18D7">
        <w:tc>
          <w:tcPr>
            <w:tcW w:w="10773" w:type="dxa"/>
            <w:gridSpan w:val="3"/>
            <w:shd w:val="clear" w:color="auto" w:fill="FFFFFF"/>
          </w:tcPr>
          <w:p w:rsidR="00A1685C" w:rsidRDefault="00A1685C">
            <w:pPr>
              <w:widowControl w:val="0"/>
              <w:autoSpaceDE w:val="0"/>
              <w:autoSpaceDN w:val="0"/>
              <w:adjustRightInd w:val="0"/>
            </w:pPr>
          </w:p>
          <w:p w:rsidR="004F18D7" w:rsidRDefault="00314450">
            <w:pPr>
              <w:widowControl w:val="0"/>
              <w:autoSpaceDE w:val="0"/>
              <w:autoSpaceDN w:val="0"/>
              <w:adjustRightInd w:val="0"/>
            </w:pPr>
            <w:r>
              <w:t xml:space="preserve"> </w:t>
            </w:r>
            <w:r>
              <w:rPr>
                <w:rFonts w:ascii="Arial" w:hAnsi="Arial" w:cs="Arial"/>
                <w:b/>
                <w:bCs/>
                <w:color w:val="000000"/>
                <w:sz w:val="16"/>
                <w:szCs w:val="16"/>
              </w:rPr>
              <w:t>9.2. Otros datos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88,34 %    -    644,88    gr/litro</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93,52 %    -    682,67    gr/litro</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ISOBUTILO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calor.Ataca diferentes tipos de materiales plásticos.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trifluoruro de bromo,dióxido de flúor,peróxido de hidrógeno,cloruro de nitrosilo,2-metil-1,3-butadieno,nitrometano,perclorato de nitrosilo.Puede reaccionar peligrosamente con: ter-butóxido de potasio,hidróxidos alcalinos,bromo,bromoformo,isopreno,sodio,dióxido de azufre,trióxido de cromo,cloruro de cromilo,ácido nítrico,cloroformo,ácido peroximonosulfúrico,oxicloruro de fósforo,ácido cromosulfúrico,flúor,agentes oxidantes fuertes,agentes reductores fuertes.Libera gases inflamables en contacto con: perclorato de nitrosilo.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ISOBUTILO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violentamente con: hidróxidos alcalinos,ter-butóxido de potasio.Forma mezclas explosivas con: aire.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Evite el recalentamiento.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ISOBUTILO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ácidos,sustancias oxidantes.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ISOBUTILO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oxidantes fuertes,nitratos,ácidos fuertes,bases fuertes.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cetena,sustancias irritantes.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TRABAJADORES: inhalación; contacto con la piel.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Efectos interactivos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TOXICIDAD AGUDA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ETILBENCENO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3500 mg/kg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15354 mg/kg Rabbit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17,2 mg/l/4h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5800 mg/kg bw</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7426 mg/kg bw guinea pig</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20 mg/l/4h air</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ISOBUTILO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13413 mg/kg bw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17400 mg/kg bw rabbit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30 mg/l/6h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(PETRÓLEO), FRACCIÓN PESADA TRATADA CON HIDRÓGENO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bw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rabbit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Hydrocarbons, C9, aromatics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3492 mg/kg rat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3160 mg/kg rabbit</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6193 mg/l/4h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4F18D7" w:rsidRDefault="004F18D7">
      <w:pPr>
        <w:widowControl w:val="0"/>
        <w:autoSpaceDE w:val="0"/>
        <w:autoSpaceDN w:val="0"/>
        <w:adjustRightInd w:val="0"/>
        <w:jc w:val="both"/>
      </w:pP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CORROSIÓN O IRRITACIÓN CUTÁNEAS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Provoca irritación cutánea</w:t>
      </w:r>
    </w:p>
    <w:p w:rsidR="004F18D7" w:rsidRDefault="00314450">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Provoca irritación ocular grave</w:t>
      </w:r>
    </w:p>
    <w:p w:rsidR="004F18D7" w:rsidRDefault="00314450">
      <w:pPr>
        <w:widowControl w:val="0"/>
        <w:autoSpaceDE w:val="0"/>
        <w:autoSpaceDN w:val="0"/>
        <w:adjustRightInd w:val="0"/>
        <w:jc w:val="both"/>
      </w:pPr>
      <w:r>
        <w:rPr>
          <w:rFonts w:ascii="Arial" w:hAnsi="Arial" w:cs="Arial"/>
          <w:color w:val="000000"/>
          <w:sz w:val="16"/>
          <w:szCs w:val="16"/>
          <w:u w:val="single"/>
        </w:rPr>
        <w:t>SENSIBILIZACIÓN RESPIRATORIA O CUTÁNEA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MUTAGENICIDAD EN CÉLULAS GERMINALES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CARCINOGENICIDAD</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D (no clasificable como cancerígena para el hombre) por la US Environmental Protection Agency (EPA) - (US EPA archivo on-line 2014).</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TOXICIDAD PARA LA REPRODUCCIÓN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Puede provocar somnolencia o vértigo</w:t>
      </w:r>
    </w:p>
    <w:p w:rsidR="004F18D7" w:rsidRDefault="00314450">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u w:val="single"/>
        </w:rPr>
        <w:t>PELIGRO POR ASPIRACIÓN</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no se dispone de datos específicos sobre el preparado, éste debe ser utilizado siguiendo las buenas prácticas de trabajo, evitando su dispersión en el ambiente. Evitar la dispersión del producto en el terreno o en cursos de agua. Advertir a las autoridades competentes si el producto entra en contacto con cursos de agua o si ha contaminado el suelo o la vegetación. Adoptar las medidas necesarias para reducir al mínimo los efectos sobre la capa acuífera.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6"/>
                <w:szCs w:val="16"/>
              </w:rPr>
              <w:t>XILENO (MEZCLA DE ISÓMEROS)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2,6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4,6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1,9 mg/l/21d</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1,3 mg/l 56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960 µg/l 7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440 µg/l 73 h</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100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100 mg/l/48h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100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10 mg/l 14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 mg/l</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 g/l 4 days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85,82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41,82 mg/l/48h</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4,65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2,1 mg/l/48h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5,15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3,3 mg/l 4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960 µg/l 7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3,95 mg/l 4 days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1,474 g/l</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1,55 g/l</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911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134 mg/l 21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 mg/l 21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 mg/l 21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88 mg/l 72 h</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6,83 g/l</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8,8 g/l/48h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1,659 g/l 28 days</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ISOBUTILO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16,6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24,6 mg/l/48h</w:t>
            </w:r>
          </w:p>
        </w:tc>
      </w:tr>
      <w:tr w:rsidR="004F18D7">
        <w:tc>
          <w:tcPr>
            <w:tcW w:w="3402"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321,5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23,2 mg/l 21 days</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1505 mg/l 72 h</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Hydrocarbons, C9, aromatics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92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32 mg/l/48h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&gt; 29 mg/l/72h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70 µg/l</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19 mg/l/96h</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11 mg/l/48h</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pPr>
      <w:r>
        <w:rPr>
          <w:rFonts w:ascii="Arial" w:hAnsi="Arial" w:cs="Arial"/>
          <w:color w:val="000000"/>
          <w:sz w:val="16"/>
          <w:szCs w:val="16"/>
        </w:rPr>
        <w:t>PROPANO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146 - 208 mg/L @ 25 °C and pH 7 mg/l</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&gt; 10000 mg/l </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0,1 - 100 mg/l</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1000 - 10000 mg/l</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1000 - 10000 mg/l</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ISOBUTILO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1000 - 10000 mg/l</w:t>
            </w: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lastRenderedPageBreak/>
              <w:t xml:space="preserve"> </w:t>
            </w:r>
            <w:r>
              <w:rPr>
                <w:rFonts w:ascii="Arial" w:hAnsi="Arial" w:cs="Arial"/>
                <w:color w:val="000000"/>
                <w:sz w:val="16"/>
                <w:szCs w:val="16"/>
              </w:rPr>
              <w:t>Hydrocarbons, C9, aromatics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bl>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A1685C" w:rsidRDefault="00A1685C">
      <w:pPr>
        <w:widowControl w:val="0"/>
        <w:autoSpaceDE w:val="0"/>
        <w:autoSpaceDN w:val="0"/>
        <w:adjustRightInd w:val="0"/>
        <w:jc w:val="both"/>
        <w:rPr>
          <w:rFonts w:ascii="Arial" w:hAnsi="Arial" w:cs="Arial"/>
          <w:color w:val="000000"/>
          <w:sz w:val="16"/>
          <w:szCs w:val="16"/>
        </w:rPr>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3,12 </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25,9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1,2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1,09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3,6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0,81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-0,23 </w:t>
            </w: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3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ACETATO DE ISOBUTILO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2,3 </w:t>
            </w:r>
          </w:p>
        </w:tc>
      </w:tr>
      <w:tr w:rsidR="004F18D7">
        <w:tc>
          <w:tcPr>
            <w:tcW w:w="3402" w:type="dxa"/>
            <w:shd w:val="clear" w:color="auto" w:fill="FFFFFF"/>
          </w:tcPr>
          <w:p w:rsidR="004F18D7" w:rsidRDefault="00314450">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A1685C" w:rsidRDefault="00A1685C">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15,3 </w:t>
            </w:r>
          </w:p>
        </w:tc>
      </w:tr>
    </w:tbl>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A1685C" w:rsidRDefault="00A1685C">
      <w:pPr>
        <w:widowControl w:val="0"/>
        <w:autoSpaceDE w:val="0"/>
        <w:autoSpaceDN w:val="0"/>
        <w:adjustRightInd w:val="0"/>
        <w:jc w:val="both"/>
        <w:rPr>
          <w:rFonts w:ascii="Arial" w:hAnsi="Arial" w:cs="Arial"/>
          <w:b/>
          <w:bCs/>
          <w:color w:val="000000"/>
          <w:sz w:val="16"/>
          <w:szCs w:val="16"/>
        </w:rPr>
      </w:pP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2,73 </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4F18D7">
        <w:tc>
          <w:tcPr>
            <w:tcW w:w="3402"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4F18D7">
            <w:pPr>
              <w:widowControl w:val="0"/>
              <w:autoSpaceDE w:val="0"/>
              <w:autoSpaceDN w:val="0"/>
              <w:adjustRightInd w:val="0"/>
            </w:pPr>
          </w:p>
        </w:tc>
      </w:tr>
      <w:tr w:rsidR="004F18D7">
        <w:tc>
          <w:tcPr>
            <w:tcW w:w="3402" w:type="dxa"/>
            <w:shd w:val="clear" w:color="auto" w:fill="FFFFFF"/>
          </w:tcPr>
          <w:p w:rsidR="004F18D7" w:rsidRDefault="00314450">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A1685C" w:rsidRDefault="00A1685C">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5670"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1,78 </w:t>
            </w:r>
          </w:p>
        </w:tc>
      </w:tr>
    </w:tbl>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A1685C" w:rsidRDefault="00A1685C">
      <w:pPr>
        <w:widowControl w:val="0"/>
        <w:autoSpaceDE w:val="0"/>
        <w:autoSpaceDN w:val="0"/>
        <w:adjustRightInd w:val="0"/>
        <w:jc w:val="both"/>
        <w:rPr>
          <w:rFonts w:ascii="Arial" w:hAnsi="Arial" w:cs="Arial"/>
          <w:b/>
          <w:bCs/>
          <w:color w:val="000000"/>
          <w:sz w:val="16"/>
          <w:szCs w:val="16"/>
        </w:rPr>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A1685C" w:rsidRDefault="00A1685C">
      <w:pPr>
        <w:widowControl w:val="0"/>
        <w:autoSpaceDE w:val="0"/>
        <w:autoSpaceDN w:val="0"/>
        <w:adjustRightInd w:val="0"/>
        <w:jc w:val="both"/>
        <w:rPr>
          <w:rFonts w:ascii="Arial" w:hAnsi="Arial" w:cs="Arial"/>
          <w:color w:val="000000"/>
          <w:sz w:val="16"/>
          <w:szCs w:val="16"/>
        </w:rPr>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A1685C" w:rsidRDefault="00A1685C">
      <w:pPr>
        <w:widowControl w:val="0"/>
        <w:autoSpaceDE w:val="0"/>
        <w:autoSpaceDN w:val="0"/>
        <w:adjustRightInd w:val="0"/>
        <w:jc w:val="both"/>
        <w:rPr>
          <w:rFonts w:ascii="Arial" w:hAnsi="Arial" w:cs="Arial"/>
          <w:b/>
          <w:bCs/>
          <w:color w:val="000000"/>
          <w:sz w:val="16"/>
          <w:szCs w:val="16"/>
        </w:rPr>
      </w:pPr>
    </w:p>
    <w:p w:rsidR="004F18D7" w:rsidRDefault="00314450">
      <w:pPr>
        <w:widowControl w:val="0"/>
        <w:autoSpaceDE w:val="0"/>
        <w:autoSpaceDN w:val="0"/>
        <w:adjustRightInd w:val="0"/>
        <w:jc w:val="both"/>
      </w:pPr>
      <w:r>
        <w:rPr>
          <w:rFonts w:ascii="Arial" w:hAnsi="Arial" w:cs="Arial"/>
          <w:color w:val="000000"/>
          <w:sz w:val="16"/>
          <w:szCs w:val="16"/>
        </w:rPr>
        <w:t>Hidrocarburos C4</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lastRenderedPageBreak/>
              <w:t xml:space="preserve"> </w:t>
            </w:r>
            <w:r>
              <w:rPr>
                <w:rFonts w:ascii="Arial" w:hAnsi="Arial" w:cs="Arial"/>
                <w:b/>
                <w:bCs/>
                <w:color w:val="000000"/>
                <w:sz w:val="22"/>
                <w:szCs w:val="22"/>
              </w:rPr>
              <w:t>SECCIÓN 13. Consideraciones relativas a la eliminación</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A1685C" w:rsidRDefault="00A1685C">
      <w:pPr>
        <w:widowControl w:val="0"/>
        <w:autoSpaceDE w:val="0"/>
        <w:autoSpaceDN w:val="0"/>
        <w:adjustRightInd w:val="0"/>
        <w:jc w:val="both"/>
        <w:rPr>
          <w:rFonts w:ascii="Arial" w:hAnsi="Arial" w:cs="Arial"/>
          <w:color w:val="000000"/>
          <w:sz w:val="16"/>
          <w:szCs w:val="16"/>
        </w:rPr>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A1685C" w:rsidRDefault="00A1685C">
      <w:pPr>
        <w:widowControl w:val="0"/>
        <w:autoSpaceDE w:val="0"/>
        <w:autoSpaceDN w:val="0"/>
        <w:adjustRightInd w:val="0"/>
        <w:jc w:val="both"/>
        <w:rPr>
          <w:rFonts w:ascii="Arial" w:hAnsi="Arial" w:cs="Arial"/>
          <w:color w:val="000000"/>
          <w:sz w:val="16"/>
          <w:szCs w:val="16"/>
        </w:rPr>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c>
          <w:tcPr>
            <w:tcW w:w="140"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F18D7" w:rsidRDefault="005A16DF">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F18D7" w:rsidRDefault="005A16DF">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F18D7" w:rsidRDefault="005A16DF">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bl>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F18D7" w:rsidRDefault="004F18D7">
            <w:pPr>
              <w:widowControl w:val="0"/>
              <w:autoSpaceDE w:val="0"/>
              <w:autoSpaceDN w:val="0"/>
              <w:adjustRightInd w:val="0"/>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Código de restricción en túnel: (D)</w:t>
            </w:r>
          </w:p>
        </w:tc>
      </w:tr>
      <w:tr w:rsidR="004F18D7">
        <w:tc>
          <w:tcPr>
            <w:tcW w:w="1701" w:type="dxa"/>
            <w:shd w:val="clear" w:color="auto" w:fill="FFFFFF"/>
          </w:tcPr>
          <w:p w:rsidR="004F18D7" w:rsidRDefault="00314450">
            <w:pPr>
              <w:widowControl w:val="0"/>
              <w:autoSpaceDE w:val="0"/>
              <w:autoSpaceDN w:val="0"/>
              <w:adjustRightInd w:val="0"/>
              <w:jc w:val="both"/>
            </w:pPr>
            <w:r>
              <w:t xml:space="preserve"> </w:t>
            </w:r>
          </w:p>
        </w:tc>
        <w:tc>
          <w:tcPr>
            <w:tcW w:w="1417" w:type="dxa"/>
            <w:shd w:val="clear" w:color="auto" w:fill="FFFFFF"/>
          </w:tcPr>
          <w:p w:rsidR="004F18D7" w:rsidRDefault="004F18D7">
            <w:pPr>
              <w:widowControl w:val="0"/>
              <w:autoSpaceDE w:val="0"/>
              <w:autoSpaceDN w:val="0"/>
              <w:adjustRightInd w:val="0"/>
              <w:jc w:val="both"/>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F18D7" w:rsidRDefault="004F18D7">
            <w:pPr>
              <w:widowControl w:val="0"/>
              <w:autoSpaceDE w:val="0"/>
              <w:autoSpaceDN w:val="0"/>
              <w:adjustRightInd w:val="0"/>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 xml:space="preserve">Cantidades </w:t>
            </w:r>
            <w:r>
              <w:rPr>
                <w:rFonts w:ascii="Arial" w:hAnsi="Arial" w:cs="Arial"/>
                <w:color w:val="000000"/>
                <w:sz w:val="16"/>
                <w:szCs w:val="16"/>
              </w:rPr>
              <w:lastRenderedPageBreak/>
              <w:t>Limitadas: 1 L</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r w:rsidR="004F18D7">
        <w:tc>
          <w:tcPr>
            <w:tcW w:w="1701"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F18D7" w:rsidRDefault="004F18D7">
            <w:pPr>
              <w:widowControl w:val="0"/>
              <w:autoSpaceDE w:val="0"/>
              <w:autoSpaceDN w:val="0"/>
              <w:adjustRightInd w:val="0"/>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Instrucciones embalaje: 200</w:t>
            </w:r>
          </w:p>
        </w:tc>
      </w:tr>
      <w:tr w:rsidR="004F18D7">
        <w:tc>
          <w:tcPr>
            <w:tcW w:w="1701" w:type="dxa"/>
            <w:shd w:val="clear" w:color="auto" w:fill="FFFFFF"/>
          </w:tcPr>
          <w:p w:rsidR="004F18D7" w:rsidRDefault="00314450">
            <w:pPr>
              <w:widowControl w:val="0"/>
              <w:autoSpaceDE w:val="0"/>
              <w:autoSpaceDN w:val="0"/>
              <w:adjustRightInd w:val="0"/>
              <w:jc w:val="both"/>
            </w:pPr>
            <w:r>
              <w:t xml:space="preserve"> </w:t>
            </w:r>
          </w:p>
        </w:tc>
        <w:tc>
          <w:tcPr>
            <w:tcW w:w="1417" w:type="dxa"/>
            <w:shd w:val="clear" w:color="auto" w:fill="FFFFFF"/>
          </w:tcPr>
          <w:p w:rsidR="004F18D7" w:rsidRDefault="004F18D7">
            <w:pPr>
              <w:widowControl w:val="0"/>
              <w:autoSpaceDE w:val="0"/>
              <w:autoSpaceDN w:val="0"/>
              <w:adjustRightInd w:val="0"/>
              <w:jc w:val="both"/>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Instrucciones embalaje: Forbidden</w:t>
            </w:r>
          </w:p>
        </w:tc>
      </w:tr>
      <w:tr w:rsidR="004F18D7">
        <w:tc>
          <w:tcPr>
            <w:tcW w:w="1701" w:type="dxa"/>
            <w:shd w:val="clear" w:color="auto" w:fill="FFFFFF"/>
          </w:tcPr>
          <w:p w:rsidR="004F18D7" w:rsidRDefault="00314450">
            <w:pPr>
              <w:widowControl w:val="0"/>
              <w:autoSpaceDE w:val="0"/>
              <w:autoSpaceDN w:val="0"/>
              <w:adjustRightInd w:val="0"/>
              <w:jc w:val="both"/>
            </w:pPr>
            <w:r>
              <w:t xml:space="preserve"> </w:t>
            </w:r>
          </w:p>
        </w:tc>
        <w:tc>
          <w:tcPr>
            <w:tcW w:w="1417" w:type="dxa"/>
            <w:shd w:val="clear" w:color="auto" w:fill="FFFFFF"/>
          </w:tcPr>
          <w:p w:rsidR="004F18D7" w:rsidRDefault="004F18D7">
            <w:pPr>
              <w:widowControl w:val="0"/>
              <w:autoSpaceDE w:val="0"/>
              <w:autoSpaceDN w:val="0"/>
              <w:adjustRightInd w:val="0"/>
              <w:jc w:val="both"/>
            </w:pPr>
          </w:p>
        </w:tc>
        <w:tc>
          <w:tcPr>
            <w:tcW w:w="2835"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4F18D7" w:rsidRDefault="004F18D7">
            <w:pPr>
              <w:widowControl w:val="0"/>
              <w:autoSpaceDE w:val="0"/>
              <w:autoSpaceDN w:val="0"/>
              <w:adjustRightInd w:val="0"/>
            </w:pPr>
          </w:p>
        </w:tc>
        <w:tc>
          <w:tcPr>
            <w:tcW w:w="1134"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4F18D7">
        <w:tc>
          <w:tcPr>
            <w:tcW w:w="2835" w:type="dxa"/>
            <w:shd w:val="clear" w:color="auto" w:fill="FFFFFF"/>
          </w:tcPr>
          <w:p w:rsidR="004F18D7" w:rsidRDefault="00314450">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FFFFFF"/>
          </w:tcPr>
          <w:p w:rsidR="004F18D7" w:rsidRDefault="00314450">
            <w:pPr>
              <w:widowControl w:val="0"/>
              <w:autoSpaceDE w:val="0"/>
              <w:autoSpaceDN w:val="0"/>
              <w:adjustRightInd w:val="0"/>
            </w:pPr>
            <w:r>
              <w:rPr>
                <w:rFonts w:ascii="Arial" w:hAnsi="Arial" w:cs="Arial"/>
                <w:b/>
                <w:bCs/>
                <w:color w:val="000000"/>
                <w:sz w:val="16"/>
                <w:szCs w:val="16"/>
              </w:rPr>
              <w:lastRenderedPageBreak/>
              <w:t>15.2. Evaluación de la seguridad química</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F18D7">
        <w:tc>
          <w:tcPr>
            <w:tcW w:w="10773" w:type="dxa"/>
            <w:shd w:val="clear" w:color="auto" w:fill="A8FFFF"/>
          </w:tcPr>
          <w:p w:rsidR="004F18D7" w:rsidRDefault="00314450">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4F18D7" w:rsidRDefault="004F18D7">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H335</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irritar las vías respiratorias.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rsidR="004F18D7" w:rsidRDefault="004F18D7">
            <w:pPr>
              <w:widowControl w:val="0"/>
              <w:autoSpaceDE w:val="0"/>
              <w:autoSpaceDN w:val="0"/>
              <w:adjustRightInd w:val="0"/>
            </w:pPr>
          </w:p>
        </w:tc>
      </w:tr>
      <w:tr w:rsidR="004F18D7">
        <w:tc>
          <w:tcPr>
            <w:tcW w:w="1984" w:type="dxa"/>
            <w:shd w:val="clear" w:color="auto" w:fill="FFFFFF"/>
          </w:tcPr>
          <w:p w:rsidR="004F18D7" w:rsidRDefault="00314450">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4F18D7" w:rsidRDefault="00314450">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4F18D7" w:rsidRDefault="004F18D7">
            <w:pPr>
              <w:widowControl w:val="0"/>
              <w:autoSpaceDE w:val="0"/>
              <w:autoSpaceDN w:val="0"/>
              <w:adjustRightInd w:val="0"/>
            </w:pPr>
          </w:p>
        </w:tc>
      </w:tr>
    </w:tbl>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IC50: Concentración de inmovilización del 50 % de la población sometida a prueba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4F18D7" w:rsidRDefault="004F18D7">
      <w:pPr>
        <w:widowControl w:val="0"/>
        <w:autoSpaceDE w:val="0"/>
        <w:autoSpaceDN w:val="0"/>
        <w:adjustRightInd w:val="0"/>
        <w:jc w:val="both"/>
      </w:pP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4F18D7" w:rsidRDefault="0031445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4F18D7" w:rsidRDefault="004F18D7">
      <w:pPr>
        <w:widowControl w:val="0"/>
        <w:autoSpaceDE w:val="0"/>
        <w:autoSpaceDN w:val="0"/>
        <w:adjustRightInd w:val="0"/>
        <w:jc w:val="both"/>
      </w:pPr>
    </w:p>
    <w:sectPr w:rsidR="004F18D7">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D7" w:rsidRDefault="00314450">
      <w:r>
        <w:separator/>
      </w:r>
    </w:p>
  </w:endnote>
  <w:endnote w:type="continuationSeparator" w:id="0">
    <w:p w:rsidR="004F18D7" w:rsidRDefault="0031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D7" w:rsidRDefault="005A16DF">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D7" w:rsidRDefault="00314450">
      <w:r>
        <w:separator/>
      </w:r>
    </w:p>
  </w:footnote>
  <w:footnote w:type="continuationSeparator" w:id="0">
    <w:p w:rsidR="004F18D7" w:rsidRDefault="0031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4F18D7">
      <w:tc>
        <w:tcPr>
          <w:tcW w:w="8278" w:type="dxa"/>
          <w:tcBorders>
            <w:top w:val="single" w:sz="6" w:space="0" w:color="auto"/>
            <w:left w:val="single" w:sz="6" w:space="0" w:color="auto"/>
          </w:tcBorders>
          <w:shd w:val="clear" w:color="auto" w:fill="FFFFFF"/>
        </w:tcPr>
        <w:p w:rsidR="004F18D7" w:rsidRDefault="00314450">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4F18D7" w:rsidRDefault="00314450">
          <w:pPr>
            <w:autoSpaceDE w:val="0"/>
            <w:autoSpaceDN w:val="0"/>
            <w:adjustRightInd w:val="0"/>
          </w:pPr>
          <w:r>
            <w:rPr>
              <w:rFonts w:ascii="Arial" w:hAnsi="Arial" w:cs="Arial"/>
              <w:color w:val="000000"/>
              <w:sz w:val="12"/>
              <w:szCs w:val="12"/>
            </w:rPr>
            <w:t>Revisión N. 1</w:t>
          </w:r>
        </w:p>
      </w:tc>
    </w:tr>
    <w:tr w:rsidR="004F18D7">
      <w:tc>
        <w:tcPr>
          <w:tcW w:w="8278" w:type="dxa"/>
          <w:tcBorders>
            <w:left w:val="single" w:sz="6" w:space="0" w:color="auto"/>
          </w:tcBorders>
          <w:shd w:val="clear" w:color="auto" w:fill="FFFFFF"/>
        </w:tcPr>
        <w:p w:rsidR="004F18D7" w:rsidRDefault="00314450">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4F18D7" w:rsidRDefault="00314450">
          <w:pPr>
            <w:autoSpaceDE w:val="0"/>
            <w:autoSpaceDN w:val="0"/>
            <w:adjustRightInd w:val="0"/>
          </w:pPr>
          <w:r>
            <w:rPr>
              <w:rFonts w:ascii="Arial" w:hAnsi="Arial" w:cs="Arial"/>
              <w:color w:val="000000"/>
              <w:sz w:val="12"/>
              <w:szCs w:val="12"/>
            </w:rPr>
            <w:t>Fecha de revisión 12/02/2018</w:t>
          </w:r>
        </w:p>
      </w:tc>
    </w:tr>
    <w:tr w:rsidR="004F18D7">
      <w:tc>
        <w:tcPr>
          <w:tcW w:w="8278" w:type="dxa"/>
          <w:tcBorders>
            <w:top w:val="single" w:sz="6" w:space="0" w:color="auto"/>
            <w:left w:val="single" w:sz="6" w:space="0" w:color="auto"/>
          </w:tcBorders>
          <w:shd w:val="clear" w:color="auto" w:fill="FFFFFF"/>
        </w:tcPr>
        <w:p w:rsidR="004F18D7" w:rsidRDefault="00314450">
          <w:pPr>
            <w:autoSpaceDE w:val="0"/>
            <w:autoSpaceDN w:val="0"/>
            <w:adjustRightInd w:val="0"/>
            <w:jc w:val="center"/>
          </w:pPr>
          <w:r>
            <w:t xml:space="preserve"> </w:t>
          </w:r>
          <w:r>
            <w:rPr>
              <w:rFonts w:ascii="Arial" w:hAnsi="Arial" w:cs="Arial"/>
              <w:b/>
              <w:bCs/>
              <w:color w:val="000000"/>
            </w:rPr>
            <w:t>V400TEMP2 - Esmalte alta temperaturas 400 ml</w:t>
          </w:r>
        </w:p>
      </w:tc>
      <w:tc>
        <w:tcPr>
          <w:tcW w:w="2721" w:type="dxa"/>
          <w:tcBorders>
            <w:left w:val="single" w:sz="6" w:space="0" w:color="auto"/>
            <w:right w:val="single" w:sz="6" w:space="0" w:color="auto"/>
          </w:tcBorders>
          <w:shd w:val="clear" w:color="auto" w:fill="FFFFFF"/>
        </w:tcPr>
        <w:p w:rsidR="004F18D7" w:rsidRDefault="00314450">
          <w:pPr>
            <w:autoSpaceDE w:val="0"/>
            <w:autoSpaceDN w:val="0"/>
            <w:adjustRightInd w:val="0"/>
          </w:pPr>
          <w:r>
            <w:rPr>
              <w:rFonts w:ascii="Arial" w:hAnsi="Arial" w:cs="Arial"/>
              <w:color w:val="000000"/>
              <w:sz w:val="12"/>
              <w:szCs w:val="12"/>
            </w:rPr>
            <w:t>Imprimida el 15/03/2018</w:t>
          </w:r>
        </w:p>
      </w:tc>
    </w:tr>
    <w:tr w:rsidR="004F18D7">
      <w:tc>
        <w:tcPr>
          <w:tcW w:w="8278" w:type="dxa"/>
          <w:tcBorders>
            <w:left w:val="single" w:sz="6" w:space="0" w:color="auto"/>
            <w:bottom w:val="single" w:sz="6" w:space="0" w:color="auto"/>
          </w:tcBorders>
          <w:shd w:val="clear" w:color="auto" w:fill="FFFFFF"/>
        </w:tcPr>
        <w:p w:rsidR="004F18D7" w:rsidRDefault="00314450">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4F18D7" w:rsidRDefault="00314450">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A1685C">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A1685C">
            <w:rPr>
              <w:rFonts w:ascii="Arial" w:hAnsi="Arial" w:cs="Arial"/>
              <w:noProof/>
              <w:color w:val="000000"/>
              <w:sz w:val="12"/>
              <w:szCs w:val="12"/>
            </w:rPr>
            <w:t>1</w:t>
          </w:r>
          <w:r>
            <w:rPr>
              <w:rFonts w:ascii="Arial" w:hAnsi="Arial" w:cs="Arial"/>
              <w:color w:val="000000"/>
              <w:sz w:val="12"/>
              <w:szCs w:val="12"/>
            </w:rPr>
            <w:fldChar w:fldCharType="end"/>
          </w:r>
        </w:p>
      </w:tc>
    </w:tr>
  </w:tbl>
  <w:p w:rsidR="004F18D7" w:rsidRDefault="005A16DF">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685C"/>
    <w:rsid w:val="00171DD7"/>
    <w:rsid w:val="002000E3"/>
    <w:rsid w:val="002B4F1F"/>
    <w:rsid w:val="00314450"/>
    <w:rsid w:val="0039723C"/>
    <w:rsid w:val="004F18D7"/>
    <w:rsid w:val="005A16DF"/>
    <w:rsid w:val="007F2EBE"/>
    <w:rsid w:val="00884218"/>
    <w:rsid w:val="008D6CBD"/>
    <w:rsid w:val="00A1685C"/>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2C9973A-0BC7-4016-BDFA-62F0767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7106</Words>
  <Characters>39083</Characters>
  <Application>Microsoft Office Word</Application>
  <DocSecurity>4</DocSecurity>
  <Lines>325</Lines>
  <Paragraphs>92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2018-03-15T09:45:00Z</cp:lastPrinted>
  <dcterms:created xsi:type="dcterms:W3CDTF">2018-11-14T09:22:00Z</dcterms:created>
  <dcterms:modified xsi:type="dcterms:W3CDTF">2018-11-14T09:22:00Z</dcterms:modified>
</cp:coreProperties>
</file>